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 xml:space="preserve">(v prípade, ak je žiadateľ registrovaný ako </w:t>
            </w:r>
            <w:r w:rsidR="006B0271" w:rsidRPr="007A3FFB">
              <w:rPr>
                <w:sz w:val="18"/>
                <w:szCs w:val="18"/>
              </w:rPr>
              <w:lastRenderedPageBreak/>
              <w:t>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</w:t>
            </w:r>
            <w:r w:rsidR="001B790C">
              <w:rPr>
                <w:sz w:val="18"/>
                <w:szCs w:val="18"/>
              </w:rPr>
              <w:lastRenderedPageBreak/>
              <w:t>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 xml:space="preserve"> miestom realizácie </w:t>
            </w:r>
            <w:r w:rsidR="00E6425C">
              <w:rPr>
                <w:sz w:val="18"/>
                <w:szCs w:val="18"/>
              </w:rPr>
              <w:lastRenderedPageBreak/>
              <w:t>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AF014E">
              <w:rPr>
                <w:sz w:val="18"/>
                <w:szCs w:val="18"/>
              </w:rPr>
              <w:lastRenderedPageBreak/>
              <w:t>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="00AB551E" w:rsidRPr="00AB551E">
              <w:rPr>
                <w:sz w:val="18"/>
                <w:szCs w:val="18"/>
              </w:rPr>
              <w:t>minimis</w:t>
            </w:r>
            <w:proofErr w:type="spellEnd"/>
            <w:r w:rsidR="00AB551E"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 w:rsidR="00431179"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ŽoNFP,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nie je dlžníkom na daniach, zdravotnom a sociálnom poistení, 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>všetci členovia štatutárneho orgánu žiadateľa a osoba splnomocnená zastupovať žiadateľa v konaní o ŽoNFP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</w:t>
            </w:r>
            <w:bookmarkStart w:id="0" w:name="_GoBack"/>
            <w:bookmarkEnd w:id="0"/>
            <w:r w:rsidRPr="009B5375">
              <w:rPr>
                <w:sz w:val="18"/>
                <w:szCs w:val="18"/>
              </w:rPr>
              <w:t>tný čin machinácií pri verejnom obstarávaní a verejnej dražbe (§ 266 až § 268 Trestného zákona).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ŽoNFP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6AB" w:rsidRDefault="002C36AB" w:rsidP="006B0271">
      <w:pPr>
        <w:spacing w:after="0" w:line="240" w:lineRule="auto"/>
      </w:pPr>
      <w:r>
        <w:separator/>
      </w:r>
    </w:p>
  </w:endnote>
  <w:endnote w:type="continuationSeparator" w:id="0">
    <w:p w:rsidR="002C36AB" w:rsidRDefault="002C36AB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6AB" w:rsidRDefault="002C36AB" w:rsidP="006B0271">
      <w:pPr>
        <w:spacing w:after="0" w:line="240" w:lineRule="auto"/>
      </w:pPr>
      <w:r>
        <w:separator/>
      </w:r>
    </w:p>
  </w:footnote>
  <w:footnote w:type="continuationSeparator" w:id="0">
    <w:p w:rsidR="002C36AB" w:rsidRDefault="002C36AB" w:rsidP="006B0271">
      <w:pPr>
        <w:spacing w:after="0" w:line="240" w:lineRule="auto"/>
      </w:pPr>
      <w:r>
        <w:continuationSeparator/>
      </w:r>
    </w:p>
  </w:footnote>
  <w:footnote w:id="1">
    <w:p w:rsidR="00406B2E" w:rsidRPr="00AD41AC" w:rsidRDefault="00406B2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06B2E" w:rsidRDefault="00406B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1B2467">
    <w:pPr>
      <w:pStyle w:val="Hlavika"/>
    </w:pPr>
    <w:r>
      <w:rPr>
        <w:noProof/>
      </w:rPr>
      <w:drawing>
        <wp:inline distT="0" distB="0" distL="0" distR="0" wp14:anchorId="33989AE7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2467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36AB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1179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B5375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2E2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6C80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basedOn w:val="Normlny"/>
    <w:uiPriority w:val="34"/>
    <w:qFormat/>
    <w:rsid w:val="009B5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4390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2018-12-11T13:21:00Z</dcterms:modified>
</cp:coreProperties>
</file>